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03" w:rsidRDefault="00747703" w:rsidP="00747703">
      <w:pPr>
        <w:jc w:val="center"/>
        <w:rPr>
          <w:b/>
        </w:rPr>
      </w:pPr>
      <w:r>
        <w:rPr>
          <w:b/>
        </w:rPr>
        <w:t>ОТЧЕТ</w:t>
      </w:r>
    </w:p>
    <w:p w:rsidR="00747703" w:rsidRDefault="00747703" w:rsidP="00747703">
      <w:pPr>
        <w:jc w:val="center"/>
        <w:rPr>
          <w:b/>
        </w:rPr>
      </w:pPr>
      <w:r>
        <w:rPr>
          <w:b/>
        </w:rPr>
        <w:t>о работе Штаба по обеспечению безопасности электроснабжения Кабардино-Балкарской Республики за 2025 год</w:t>
      </w:r>
    </w:p>
    <w:p w:rsidR="00747703" w:rsidRDefault="00747703" w:rsidP="00747703">
      <w:pPr>
        <w:jc w:val="center"/>
        <w:rPr>
          <w:b/>
          <w:sz w:val="16"/>
          <w:szCs w:val="16"/>
        </w:rPr>
      </w:pPr>
    </w:p>
    <w:p w:rsidR="00747703" w:rsidRDefault="00747703" w:rsidP="00747703">
      <w:pPr>
        <w:suppressAutoHyphens/>
        <w:autoSpaceDN w:val="0"/>
        <w:ind w:firstLine="708"/>
        <w:rPr>
          <w:bCs/>
          <w:color w:val="000000"/>
        </w:rPr>
      </w:pPr>
      <w:r>
        <w:rPr>
          <w:bCs/>
          <w:color w:val="000000"/>
        </w:rPr>
        <w:t xml:space="preserve">Штаб по обеспечению безопасности электроснабжения КБР образован  Указом Президента КБР от 23 июня 2008 года № 73-УП «О Штабе                                по обеспечению безопасности электроснабжения КБР». Штаб по обеспечению безопасности электроснабжения КБР» (далее - Штаб),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КБР. </w:t>
      </w:r>
    </w:p>
    <w:p w:rsidR="00747703" w:rsidRDefault="00747703" w:rsidP="00747703">
      <w:pPr>
        <w:suppressAutoHyphens/>
        <w:autoSpaceDN w:val="0"/>
        <w:ind w:firstLine="708"/>
        <w:rPr>
          <w:kern w:val="3"/>
        </w:rPr>
      </w:pPr>
      <w:proofErr w:type="gramStart"/>
      <w:r>
        <w:rPr>
          <w:kern w:val="3"/>
        </w:rPr>
        <w:t xml:space="preserve">Обеспечена реализация </w:t>
      </w:r>
      <w:r>
        <w:t xml:space="preserve">Плана работы Штаба по обеспечению безопасности электроснабжения КБР на 2025 год, </w:t>
      </w:r>
      <w:r>
        <w:rPr>
          <w:kern w:val="3"/>
        </w:rPr>
        <w:t xml:space="preserve">Регламента взаимодействия Штаба с предприятиями топливно-энергетического комплекса КБР (далее – ТЭК КБР), действующими на территории КБР, разработанный и утвержденный на заседании Штаба согласно протоколу заседания Федерального штаба                                   по обеспечению безопасности электроснабжения от 12 февраля 2015 года № 15, также  </w:t>
      </w:r>
      <w:r>
        <w:t>работа Дежурной службы при Штабе, «Горячей линии».</w:t>
      </w:r>
      <w:proofErr w:type="gramEnd"/>
    </w:p>
    <w:p w:rsidR="00747703" w:rsidRDefault="00747703" w:rsidP="00747703">
      <w:pPr>
        <w:tabs>
          <w:tab w:val="left" w:pos="0"/>
        </w:tabs>
        <w:ind w:firstLine="708"/>
      </w:pPr>
      <w:r>
        <w:t xml:space="preserve">В соответствии с рекомендацией Правительственной комиссии                             по обеспечению безопасности электроснабжения (Федерального штаба) отчет                    о работе Штаба и информация о Дежурной службе размещаются на сайте Министерства промышленности, энергетики и торговли КБР: </w:t>
      </w:r>
      <w:r>
        <w:rPr>
          <w:lang w:val="en-US"/>
        </w:rPr>
        <w:t>http</w:t>
      </w:r>
      <w:r>
        <w:t>://</w:t>
      </w:r>
      <w:hyperlink r:id="rId6" w:history="1">
        <w:proofErr w:type="spellStart"/>
        <w:r>
          <w:rPr>
            <w:rStyle w:val="a4"/>
            <w:lang w:val="en-US"/>
          </w:rPr>
          <w:t>minpromtorg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kbr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>
        <w:t xml:space="preserve">.    </w:t>
      </w:r>
    </w:p>
    <w:p w:rsidR="00747703" w:rsidRDefault="00747703" w:rsidP="00747703">
      <w:pPr>
        <w:suppressAutoHyphens/>
        <w:autoSpaceDN w:val="0"/>
        <w:ind w:firstLine="708"/>
      </w:pPr>
      <w:proofErr w:type="gramStart"/>
      <w:r>
        <w:t xml:space="preserve">Штаб,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РФ от 10 мая 2017 года № 543 «О порядке оценки готовности субъектов электроэнергетики к работе в отопительный сезон», проверял ход подготовки к ОЗП 2025-2026 годов и представлял  ежемесячно соответствующую информацию согласно Регламенту работы Штаба в секретариат Федерального штаба и Правительство КБР. </w:t>
      </w:r>
      <w:proofErr w:type="gramEnd"/>
    </w:p>
    <w:p w:rsidR="00747703" w:rsidRDefault="00747703" w:rsidP="00747703">
      <w:pPr>
        <w:suppressAutoHyphens/>
        <w:autoSpaceDN w:val="0"/>
        <w:ind w:firstLine="708"/>
      </w:pPr>
      <w:r>
        <w:t xml:space="preserve">В рамках реализации Плана работы Штаба на 2025 год и с учетом  рекомендации Федерального штаба с начала года проведено 6 заседаний Штаба, в том числе 2 заседания в </w:t>
      </w:r>
      <w:r>
        <w:rPr>
          <w:lang w:val="en-US"/>
        </w:rPr>
        <w:t>IV</w:t>
      </w:r>
      <w:r w:rsidRPr="00747703">
        <w:t xml:space="preserve"> </w:t>
      </w:r>
      <w:r>
        <w:t xml:space="preserve">квартале, на которых заслушаны отчеты руководителей субъектов ТЭК, функционирующих на территории КБР,                                 по вопросам: </w:t>
      </w:r>
    </w:p>
    <w:p w:rsidR="00747703" w:rsidRDefault="00747703" w:rsidP="00747703">
      <w:r>
        <w:t xml:space="preserve">Отчет руководителей субъектов ТЭК, функционирующих                                      на территории КБР: 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 прогнозируемых в КБР в 2025 году паводковой и пожароопасной ситуациях, возможных угрозах бесперебойному функционированию объектов электроэнергетики и рисках возникновения нарушений электроснабжения потребителей;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об утверждении комплекса мер, направленных на минимизацию рисков возникновения аварий на объектах электроэнергетики и нарушения электроснабжения потребителей</w:t>
      </w:r>
      <w:r>
        <w:tab/>
        <w:t>в</w:t>
      </w:r>
      <w:r>
        <w:tab/>
        <w:t xml:space="preserve">период прохождения паводкового                                </w:t>
      </w:r>
      <w:r>
        <w:lastRenderedPageBreak/>
        <w:t>и пожароопасного периодов 2025 года, в том числе оснащении соответствующих СЗО резервными источниками электроснабжения (РИСЭ);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 xml:space="preserve">об организации постоянного взаимодействия субъектов электроэнергетики, ответственных потребителей электроэнергии с органами исполнительной власти, выполнении профилактических мероприятий по подготовке инфраструктурных и социальных объектов к прохождению паводкового </w:t>
      </w:r>
      <w:r w:rsidR="00CB1567">
        <w:t xml:space="preserve">                                   </w:t>
      </w:r>
      <w:r>
        <w:t>и пожароопасного периодов;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 xml:space="preserve">о готовности к функционированию в паводковый и пожароопасный периоды, организации </w:t>
      </w:r>
      <w:proofErr w:type="gramStart"/>
      <w:r>
        <w:t>контроля за</w:t>
      </w:r>
      <w:proofErr w:type="gramEnd"/>
      <w:r>
        <w:t xml:space="preserve"> оборудованием, зданиями и сооружениями, попадающими в зоны возможного подтопления и пожароопасной обстановки;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 существующих резервах необходимых материалов, техники, оборудования и автотранспорта для оперативной ликвидации возможных повреждений, и аварийных ситуаций;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 состоянии гидросооружений и их готовности к паводковому периоду;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об итогах прохождения осенне-зимнего периода 2024-2025 годов                                         и готовности предприятий ТЭК к осенне-зимнему периоду 2025-2026 годов;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 xml:space="preserve">об обеспечении особого </w:t>
      </w:r>
      <w:proofErr w:type="gramStart"/>
      <w:r>
        <w:t>контроля за</w:t>
      </w:r>
      <w:proofErr w:type="gramEnd"/>
      <w:r>
        <w:t xml:space="preserve"> бесперебойным электроснабжением объектов, задействованных для проведения в основной период проведения                                в 2025 году с 23 мая по 4 июля в Российской Федерации единого государственного экзамена; 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об обеспечении социально-значимых объектов РИСЭ;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 бесхозяйных электросетевых объектах;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 xml:space="preserve">об исполнении протокола заседания Федерального штаба от 15.11.2024 г.                             № ЕГ-276/1пр, в части касающейся майнинга цифровой валюты и (или) деятельности операторов майнинговой инфраструктуры; 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об исполнении приказа Минэнерго России от 22.05.2025 № 542 «Об утверждении перечня энергосистем, характеризующихся режимом с высокими рисками нарушения электроснабжения в 2025-2027 годах, и перечня мероприятий по снижению рисков нарушения электроснабжения в таких энергосистемах»;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 xml:space="preserve">о проведении противоаварийной тренировки по ликвидации (минимизации) последствий нарушения (угрозы нарушения) электроснабжения потребителей при возникновении аварийного электроэнергетического режима, а также при работе в вынужденном режиме: ограничение режима потребления электрической энергии энергоемкими промышленными предприятиями;                                 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 готовности горячих линий филиала ПАО «Россети Северный Кавказ» - «Каббалкэнерго» (88662) 77-19-45 и ТСО по оповещению населения                                 о нарушениях электроснабжения потребителей и о сроках окончания аварийно-восстановительных работ;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об утверждении Типового порядка рекомендуемых действий органов местного самоуправления при возникновении или угрозе возникновения массовых нарушений электроснабжения потребителей.</w:t>
      </w:r>
    </w:p>
    <w:p w:rsidR="00747703" w:rsidRDefault="00747703" w:rsidP="0074770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Об утверждении Плана работ Штаба КБР на 2026 г.</w:t>
      </w:r>
    </w:p>
    <w:p w:rsidR="007453F0" w:rsidRPr="00DE0B56" w:rsidRDefault="00747703" w:rsidP="000B220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Протокольные решения заседаний федерального и республиканского штабов и их рекомендации выполнялись в установленные сроки.</w:t>
      </w:r>
      <w:bookmarkStart w:id="0" w:name="_GoBack"/>
      <w:bookmarkEnd w:id="0"/>
    </w:p>
    <w:sectPr w:rsidR="007453F0" w:rsidRPr="00DE0B56" w:rsidSect="0032116A">
      <w:type w:val="continuous"/>
      <w:pgSz w:w="11906" w:h="16838"/>
      <w:pgMar w:top="1134" w:right="849" w:bottom="1134" w:left="1276" w:header="720" w:footer="720" w:gutter="0"/>
      <w:cols w:space="187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A"/>
    <w:rsid w:val="00020AEF"/>
    <w:rsid w:val="00031979"/>
    <w:rsid w:val="0009558B"/>
    <w:rsid w:val="000A27CC"/>
    <w:rsid w:val="000B2206"/>
    <w:rsid w:val="000E3690"/>
    <w:rsid w:val="00105E79"/>
    <w:rsid w:val="00115EDA"/>
    <w:rsid w:val="00154182"/>
    <w:rsid w:val="0017026F"/>
    <w:rsid w:val="0019147C"/>
    <w:rsid w:val="001E7B1B"/>
    <w:rsid w:val="00207372"/>
    <w:rsid w:val="002317A8"/>
    <w:rsid w:val="003164D1"/>
    <w:rsid w:val="0032116A"/>
    <w:rsid w:val="003250CC"/>
    <w:rsid w:val="00370970"/>
    <w:rsid w:val="003B3AF1"/>
    <w:rsid w:val="003E711A"/>
    <w:rsid w:val="004001D7"/>
    <w:rsid w:val="004260E2"/>
    <w:rsid w:val="00453F69"/>
    <w:rsid w:val="004605A9"/>
    <w:rsid w:val="00486F81"/>
    <w:rsid w:val="004C47D3"/>
    <w:rsid w:val="004D5F22"/>
    <w:rsid w:val="00537FAA"/>
    <w:rsid w:val="00545193"/>
    <w:rsid w:val="00547EFF"/>
    <w:rsid w:val="00576A40"/>
    <w:rsid w:val="005A0C55"/>
    <w:rsid w:val="005A240A"/>
    <w:rsid w:val="005D3DCA"/>
    <w:rsid w:val="005D70ED"/>
    <w:rsid w:val="00615C07"/>
    <w:rsid w:val="006339B5"/>
    <w:rsid w:val="00655045"/>
    <w:rsid w:val="006A1408"/>
    <w:rsid w:val="00722E27"/>
    <w:rsid w:val="0072622F"/>
    <w:rsid w:val="007453F0"/>
    <w:rsid w:val="00747703"/>
    <w:rsid w:val="007578EC"/>
    <w:rsid w:val="00761660"/>
    <w:rsid w:val="007632A7"/>
    <w:rsid w:val="007A1545"/>
    <w:rsid w:val="007B3147"/>
    <w:rsid w:val="007B7284"/>
    <w:rsid w:val="007E6525"/>
    <w:rsid w:val="00804C59"/>
    <w:rsid w:val="008240D6"/>
    <w:rsid w:val="008255C1"/>
    <w:rsid w:val="00833E2D"/>
    <w:rsid w:val="00836FD4"/>
    <w:rsid w:val="00855DBA"/>
    <w:rsid w:val="00867C7C"/>
    <w:rsid w:val="00886767"/>
    <w:rsid w:val="00890C6A"/>
    <w:rsid w:val="008A075E"/>
    <w:rsid w:val="008C6825"/>
    <w:rsid w:val="008D57C7"/>
    <w:rsid w:val="00905647"/>
    <w:rsid w:val="009060C7"/>
    <w:rsid w:val="009337C5"/>
    <w:rsid w:val="00A14926"/>
    <w:rsid w:val="00A243C6"/>
    <w:rsid w:val="00A42621"/>
    <w:rsid w:val="00A72050"/>
    <w:rsid w:val="00AE4431"/>
    <w:rsid w:val="00B07150"/>
    <w:rsid w:val="00B07ED4"/>
    <w:rsid w:val="00B1724A"/>
    <w:rsid w:val="00B30FD6"/>
    <w:rsid w:val="00B6024D"/>
    <w:rsid w:val="00B635C4"/>
    <w:rsid w:val="00B75C6C"/>
    <w:rsid w:val="00B84563"/>
    <w:rsid w:val="00B979B7"/>
    <w:rsid w:val="00BB79E3"/>
    <w:rsid w:val="00BD3050"/>
    <w:rsid w:val="00BF002D"/>
    <w:rsid w:val="00BF6A00"/>
    <w:rsid w:val="00C0679B"/>
    <w:rsid w:val="00C21608"/>
    <w:rsid w:val="00C27694"/>
    <w:rsid w:val="00C77CC8"/>
    <w:rsid w:val="00CB1567"/>
    <w:rsid w:val="00D15598"/>
    <w:rsid w:val="00D215CF"/>
    <w:rsid w:val="00D5491E"/>
    <w:rsid w:val="00D57B42"/>
    <w:rsid w:val="00DE0B56"/>
    <w:rsid w:val="00DF66C8"/>
    <w:rsid w:val="00E30747"/>
    <w:rsid w:val="00EC21EB"/>
    <w:rsid w:val="00EE294D"/>
    <w:rsid w:val="00F263EB"/>
    <w:rsid w:val="00F331BC"/>
    <w:rsid w:val="00F37247"/>
    <w:rsid w:val="00FC473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7477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747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npromtorg@k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F0CE-B65E-442B-96B4-6219E3E5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5</cp:revision>
  <dcterms:created xsi:type="dcterms:W3CDTF">2025-12-23T08:44:00Z</dcterms:created>
  <dcterms:modified xsi:type="dcterms:W3CDTF">2025-12-23T08:46:00Z</dcterms:modified>
</cp:coreProperties>
</file>